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465BE1" w:rsidRDefault="00B12571" w:rsidP="00B84821">
      <w:pPr>
        <w:rPr>
          <w:rFonts w:asciiTheme="majorBidi" w:hAnsiTheme="majorBidi" w:cstheme="majorBidi"/>
          <w:sz w:val="10"/>
          <w:szCs w:val="1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465BE1" w:rsidRDefault="000C0235" w:rsidP="000C0235">
      <w:pPr>
        <w:rPr>
          <w:rFonts w:asciiTheme="majorBidi" w:hAnsiTheme="majorBidi" w:cstheme="majorBidi"/>
          <w:sz w:val="8"/>
          <w:szCs w:val="8"/>
          <w:lang w:bidi="fa-IR"/>
        </w:rPr>
      </w:pPr>
    </w:p>
    <w:p w14:paraId="4CAB350C" w14:textId="78078E83" w:rsidR="00B12571" w:rsidRPr="004E652D" w:rsidRDefault="00B12571" w:rsidP="000C0235">
      <w:pPr>
        <w:rPr>
          <w:rFonts w:asciiTheme="majorBidi" w:hAnsiTheme="majorBidi" w:cstheme="majorBidi"/>
          <w:sz w:val="28"/>
          <w:szCs w:val="28"/>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4E652D" w:rsidRPr="004E652D">
        <w:rPr>
          <w:rFonts w:asciiTheme="majorBidi" w:hAnsiTheme="majorBidi" w:cstheme="majorBidi"/>
          <w:sz w:val="28"/>
          <w:szCs w:val="28"/>
        </w:rPr>
        <w:t>ELISA kits for measurement of human TGF-β</w:t>
      </w:r>
    </w:p>
    <w:p w14:paraId="0AB1D29C" w14:textId="61B8DE38"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DA4584">
        <w:rPr>
          <w:rFonts w:asciiTheme="majorBidi" w:hAnsiTheme="majorBidi" w:cstheme="majorBidi"/>
          <w:sz w:val="32"/>
          <w:szCs w:val="32"/>
          <w:lang w:bidi="fa-IR"/>
        </w:rPr>
        <w:t>48/98</w:t>
      </w:r>
      <w:r w:rsidR="004E652D">
        <w:rPr>
          <w:rFonts w:asciiTheme="majorBidi" w:hAnsiTheme="majorBidi" w:cstheme="majorBidi"/>
          <w:sz w:val="32"/>
          <w:szCs w:val="32"/>
          <w:lang w:bidi="fa-IR"/>
        </w:rPr>
        <w:t xml:space="preserve"> </w:t>
      </w:r>
      <w:proofErr w:type="spellStart"/>
      <w:r w:rsidR="00DA4584">
        <w:rPr>
          <w:rFonts w:asciiTheme="majorBidi" w:hAnsiTheme="majorBidi" w:cstheme="majorBidi"/>
          <w:sz w:val="32"/>
          <w:szCs w:val="32"/>
          <w:lang w:bidi="fa-IR"/>
        </w:rPr>
        <w:t>r</w:t>
      </w:r>
      <w:r w:rsidR="004E652D">
        <w:rPr>
          <w:rFonts w:asciiTheme="majorBidi" w:hAnsiTheme="majorBidi" w:cstheme="majorBidi"/>
          <w:sz w:val="32"/>
          <w:szCs w:val="32"/>
          <w:lang w:bidi="fa-IR"/>
        </w:rPr>
        <w:t>xns</w:t>
      </w:r>
      <w:proofErr w:type="spellEnd"/>
    </w:p>
    <w:p w14:paraId="636FD85D" w14:textId="087CDC87"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D0064E">
        <w:rPr>
          <w:rFonts w:asciiTheme="majorBidi" w:hAnsiTheme="majorBidi" w:cstheme="majorBidi"/>
          <w:sz w:val="28"/>
          <w:szCs w:val="28"/>
        </w:rPr>
        <w:t>PRA</w:t>
      </w:r>
      <w:r w:rsidR="004E652D" w:rsidRPr="004E652D">
        <w:rPr>
          <w:rFonts w:asciiTheme="majorBidi" w:hAnsiTheme="majorBidi" w:cstheme="majorBidi"/>
          <w:sz w:val="28"/>
          <w:szCs w:val="28"/>
        </w:rPr>
        <w:t>-H</w:t>
      </w:r>
      <w:r w:rsidR="004E652D" w:rsidRPr="004E652D">
        <w:rPr>
          <w:rFonts w:asciiTheme="majorBidi" w:hAnsiTheme="majorBidi" w:cstheme="majorBidi"/>
          <w:sz w:val="28"/>
          <w:szCs w:val="28"/>
          <w:lang w:val="en"/>
        </w:rPr>
        <w:t>TGFβ</w:t>
      </w:r>
      <w:r w:rsidR="004E652D" w:rsidRPr="004E652D">
        <w:rPr>
          <w:rFonts w:asciiTheme="majorBidi" w:hAnsiTheme="majorBidi" w:cstheme="majorBidi"/>
          <w:sz w:val="28"/>
          <w:szCs w:val="28"/>
        </w:rPr>
        <w:t>-</w:t>
      </w:r>
      <w:r w:rsidR="00DA4584">
        <w:rPr>
          <w:rFonts w:asciiTheme="majorBidi" w:hAnsiTheme="majorBidi" w:cstheme="majorBidi"/>
          <w:sz w:val="28"/>
          <w:szCs w:val="28"/>
        </w:rPr>
        <w:t>48</w:t>
      </w:r>
      <w:r w:rsidR="00E05228">
        <w:rPr>
          <w:rFonts w:asciiTheme="majorBidi" w:hAnsiTheme="majorBidi" w:cstheme="majorBidi"/>
          <w:sz w:val="28"/>
          <w:szCs w:val="28"/>
        </w:rPr>
        <w:t>/</w:t>
      </w:r>
      <w:r w:rsidR="00D0064E">
        <w:rPr>
          <w:rFonts w:asciiTheme="majorBidi" w:hAnsiTheme="majorBidi" w:cstheme="majorBidi"/>
          <w:sz w:val="28"/>
          <w:szCs w:val="28"/>
        </w:rPr>
        <w:t>PRA</w:t>
      </w:r>
      <w:r w:rsidR="004E652D" w:rsidRPr="004E652D">
        <w:rPr>
          <w:rFonts w:asciiTheme="majorBidi" w:hAnsiTheme="majorBidi" w:cstheme="majorBidi"/>
          <w:sz w:val="28"/>
          <w:szCs w:val="28"/>
        </w:rPr>
        <w:t>-H</w:t>
      </w:r>
      <w:r w:rsidR="004E652D" w:rsidRPr="004E652D">
        <w:rPr>
          <w:rFonts w:asciiTheme="majorBidi" w:hAnsiTheme="majorBidi" w:cstheme="majorBidi"/>
          <w:sz w:val="28"/>
          <w:szCs w:val="28"/>
          <w:lang w:val="en"/>
        </w:rPr>
        <w:t>TGFβ</w:t>
      </w:r>
      <w:r w:rsidR="004E652D" w:rsidRPr="004E652D">
        <w:rPr>
          <w:rFonts w:asciiTheme="majorBidi" w:hAnsiTheme="majorBidi" w:cstheme="majorBidi"/>
          <w:sz w:val="28"/>
          <w:szCs w:val="28"/>
        </w:rPr>
        <w:t>-</w:t>
      </w:r>
      <w:r w:rsidR="00DA4584">
        <w:rPr>
          <w:rFonts w:asciiTheme="majorBidi" w:hAnsiTheme="majorBidi" w:cstheme="majorBidi"/>
          <w:sz w:val="28"/>
          <w:szCs w:val="28"/>
        </w:rPr>
        <w:t>96</w:t>
      </w:r>
    </w:p>
    <w:p w14:paraId="6B9B6BB1" w14:textId="77777777" w:rsidR="00B12571" w:rsidRPr="00465BE1" w:rsidRDefault="00B12571" w:rsidP="00B12571">
      <w:pPr>
        <w:rPr>
          <w:rFonts w:asciiTheme="majorBidi" w:hAnsiTheme="majorBidi" w:cstheme="majorBidi"/>
          <w:sz w:val="8"/>
          <w:szCs w:val="8"/>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65FF643E" w14:textId="4137E541" w:rsidR="004E052C" w:rsidRPr="00465BE1" w:rsidRDefault="004E052C" w:rsidP="00B84821">
      <w:pPr>
        <w:rPr>
          <w:rFonts w:asciiTheme="majorBidi" w:hAnsiTheme="majorBidi" w:cstheme="majorBidi"/>
          <w:sz w:val="10"/>
          <w:szCs w:val="10"/>
          <w:lang w:bidi="fa-IR"/>
        </w:rPr>
      </w:pPr>
    </w:p>
    <w:p w14:paraId="0AE738E5" w14:textId="66E2CB73" w:rsidR="004E652D" w:rsidRPr="004E652D" w:rsidRDefault="004E652D" w:rsidP="00DA4584">
      <w:pPr>
        <w:shd w:val="clear" w:color="auto" w:fill="FFFFFF" w:themeFill="background1"/>
        <w:jc w:val="both"/>
        <w:rPr>
          <w:rFonts w:asciiTheme="majorBidi" w:hAnsiTheme="majorBidi" w:cstheme="majorBidi"/>
          <w:sz w:val="28"/>
          <w:szCs w:val="28"/>
          <w:lang w:val="en"/>
        </w:rPr>
      </w:pPr>
      <w:r w:rsidRPr="004E652D">
        <w:rPr>
          <w:rFonts w:asciiTheme="majorBidi" w:hAnsiTheme="majorBidi" w:cstheme="majorBidi"/>
          <w:sz w:val="28"/>
          <w:szCs w:val="28"/>
          <w:lang w:val="en"/>
        </w:rPr>
        <w:t>TGF-β is an anti-inflammatory cytokine produced by a large number of immune cells, including regulatory T lymphocytes and macrophages. This cytokine has many anti-inflammatory properties and has a receptor on a certain number of immune cells. Despite its anti-inflammatory properties, this cytokine plays an important role in the growth and maturation of Th17 lymphocytes. Therefore, this cytokine together with IL-2 and IL-6 cytokines can also play an inflammatory role. TGF-β has an important role in creating homeostasis following microbial infections and also preventing the development of autoimmune diseases.</w:t>
      </w:r>
      <w:r w:rsidRPr="004E652D">
        <w:rPr>
          <w:rFonts w:asciiTheme="majorBidi" w:eastAsia="Times New Roman" w:hAnsiTheme="majorBidi" w:cstheme="majorBidi"/>
          <w:color w:val="202124"/>
          <w:sz w:val="28"/>
          <w:szCs w:val="28"/>
          <w:lang w:val="en"/>
        </w:rPr>
        <w:t xml:space="preserve"> </w:t>
      </w:r>
      <w:r w:rsidRPr="004E652D">
        <w:rPr>
          <w:rFonts w:asciiTheme="majorBidi" w:hAnsiTheme="majorBidi" w:cstheme="majorBidi"/>
          <w:sz w:val="28"/>
          <w:szCs w:val="28"/>
          <w:lang w:val="en"/>
        </w:rPr>
        <w:t>Therefore, this cytokine as a mainly anti-inflammatory indicator is widely used in laboratory studies to investigate the condition of a disease or the inflammatory or anti-inflammatory effects of a drug. The current kit is designed and produced using mouse and human anti-TGF-β monoclonal antibodies, so it is not used in the measurement of similar animal cases.</w:t>
      </w: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465BE1" w:rsidRDefault="00B12571" w:rsidP="00B84821">
      <w:pPr>
        <w:rPr>
          <w:rFonts w:asciiTheme="majorBidi" w:hAnsiTheme="majorBidi" w:cstheme="majorBidi"/>
          <w:sz w:val="10"/>
          <w:szCs w:val="1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4E652D" w14:paraId="51CDF293" w14:textId="77777777" w:rsidTr="004E652D">
        <w:tc>
          <w:tcPr>
            <w:tcW w:w="3116" w:type="dxa"/>
            <w:hideMark/>
          </w:tcPr>
          <w:p w14:paraId="48B4F545" w14:textId="77777777"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Human anti-TGF-β pre-coated plate </w:t>
            </w:r>
          </w:p>
        </w:tc>
        <w:tc>
          <w:tcPr>
            <w:tcW w:w="3117" w:type="dxa"/>
            <w:hideMark/>
          </w:tcPr>
          <w:p w14:paraId="61323187" w14:textId="76A63D2F" w:rsidR="004E652D" w:rsidRPr="004E652D" w:rsidRDefault="00D0064E">
            <w:pPr>
              <w:jc w:val="center"/>
              <w:rPr>
                <w:rFonts w:asciiTheme="majorBidi" w:hAnsiTheme="majorBidi" w:cstheme="majorBidi"/>
                <w:color w:val="FFFFFF" w:themeColor="background1"/>
                <w:sz w:val="24"/>
                <w:szCs w:val="24"/>
              </w:rPr>
            </w:pPr>
            <w:r>
              <w:rPr>
                <w:rFonts w:asciiTheme="majorBidi" w:hAnsiTheme="majorBidi" w:cstheme="majorBidi"/>
                <w:sz w:val="24"/>
                <w:szCs w:val="24"/>
              </w:rPr>
              <w:t>PRA</w:t>
            </w:r>
            <w:r w:rsidR="004E652D" w:rsidRPr="004E652D">
              <w:rPr>
                <w:rFonts w:asciiTheme="majorBidi" w:hAnsiTheme="majorBidi" w:cstheme="majorBidi"/>
                <w:sz w:val="24"/>
                <w:szCs w:val="24"/>
              </w:rPr>
              <w:t>-</w:t>
            </w:r>
            <w:r w:rsidR="004E652D" w:rsidRPr="004E652D">
              <w:rPr>
                <w:rFonts w:asciiTheme="majorBidi" w:hAnsiTheme="majorBidi" w:cstheme="majorBidi"/>
                <w:sz w:val="24"/>
                <w:szCs w:val="24"/>
                <w:lang w:val="en"/>
              </w:rPr>
              <w:t>TGF</w:t>
            </w:r>
            <w:r w:rsidR="004E652D" w:rsidRPr="004E652D">
              <w:rPr>
                <w:rFonts w:asciiTheme="majorBidi" w:hAnsiTheme="majorBidi" w:cstheme="majorBidi"/>
                <w:sz w:val="24"/>
                <w:szCs w:val="24"/>
              </w:rPr>
              <w:t>P</w:t>
            </w:r>
          </w:p>
        </w:tc>
        <w:tc>
          <w:tcPr>
            <w:tcW w:w="3117" w:type="dxa"/>
            <w:hideMark/>
          </w:tcPr>
          <w:p w14:paraId="5DA30399" w14:textId="369D1A7A"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96,48 vials</w:t>
            </w:r>
          </w:p>
        </w:tc>
      </w:tr>
      <w:tr w:rsidR="004E652D" w14:paraId="5866A734" w14:textId="77777777" w:rsidTr="004E652D">
        <w:tc>
          <w:tcPr>
            <w:tcW w:w="3116" w:type="dxa"/>
            <w:hideMark/>
          </w:tcPr>
          <w:p w14:paraId="64DFE41E" w14:textId="77777777" w:rsidR="004E652D" w:rsidRPr="004E652D" w:rsidRDefault="004E652D">
            <w:pPr>
              <w:jc w:val="center"/>
              <w:rPr>
                <w:rFonts w:asciiTheme="majorBidi" w:hAnsiTheme="majorBidi" w:cstheme="majorBidi"/>
                <w:sz w:val="24"/>
                <w:szCs w:val="24"/>
                <w:lang w:bidi="fa-IR"/>
              </w:rPr>
            </w:pPr>
            <w:r w:rsidRPr="004E652D">
              <w:rPr>
                <w:rFonts w:asciiTheme="majorBidi" w:hAnsiTheme="majorBidi" w:cstheme="majorBidi"/>
                <w:sz w:val="24"/>
                <w:szCs w:val="24"/>
                <w:lang w:bidi="fa-IR"/>
              </w:rPr>
              <w:t>Standards</w:t>
            </w:r>
          </w:p>
        </w:tc>
        <w:tc>
          <w:tcPr>
            <w:tcW w:w="3117" w:type="dxa"/>
            <w:hideMark/>
          </w:tcPr>
          <w:p w14:paraId="7C3F3041" w14:textId="4F3794A5" w:rsidR="004E652D" w:rsidRPr="004E652D" w:rsidRDefault="00D0064E">
            <w:pPr>
              <w:jc w:val="center"/>
              <w:rPr>
                <w:rFonts w:asciiTheme="majorBidi" w:hAnsiTheme="majorBidi" w:cstheme="majorBidi"/>
                <w:sz w:val="24"/>
                <w:szCs w:val="24"/>
                <w:rtl/>
              </w:rPr>
            </w:pPr>
            <w:r>
              <w:rPr>
                <w:rFonts w:asciiTheme="majorBidi" w:hAnsiTheme="majorBidi" w:cstheme="majorBidi"/>
                <w:sz w:val="24"/>
                <w:szCs w:val="24"/>
              </w:rPr>
              <w:t>PRA</w:t>
            </w:r>
            <w:r w:rsidR="004E652D" w:rsidRPr="004E652D">
              <w:rPr>
                <w:rFonts w:asciiTheme="majorBidi" w:hAnsiTheme="majorBidi" w:cstheme="majorBidi"/>
                <w:sz w:val="24"/>
                <w:szCs w:val="24"/>
              </w:rPr>
              <w:t>-</w:t>
            </w:r>
            <w:r w:rsidR="004E652D" w:rsidRPr="004E652D">
              <w:rPr>
                <w:rFonts w:asciiTheme="majorBidi" w:hAnsiTheme="majorBidi" w:cstheme="majorBidi"/>
                <w:sz w:val="24"/>
                <w:szCs w:val="24"/>
                <w:lang w:val="en"/>
              </w:rPr>
              <w:t xml:space="preserve"> TGF</w:t>
            </w:r>
            <w:r w:rsidR="004E652D" w:rsidRPr="004E652D">
              <w:rPr>
                <w:rFonts w:asciiTheme="majorBidi" w:hAnsiTheme="majorBidi" w:cstheme="majorBidi"/>
                <w:sz w:val="24"/>
                <w:szCs w:val="24"/>
              </w:rPr>
              <w:t>SN1-4</w:t>
            </w:r>
          </w:p>
        </w:tc>
        <w:tc>
          <w:tcPr>
            <w:tcW w:w="3117" w:type="dxa"/>
            <w:hideMark/>
          </w:tcPr>
          <w:p w14:paraId="1F2B3A42" w14:textId="7BA1D5A2"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200 </w:t>
            </w:r>
            <w:r w:rsidR="00DA4584">
              <w:rPr>
                <w:rFonts w:asciiTheme="majorBidi" w:hAnsiTheme="majorBidi" w:cstheme="majorBidi"/>
                <w:sz w:val="24"/>
                <w:szCs w:val="24"/>
              </w:rPr>
              <w:t>µl</w:t>
            </w:r>
          </w:p>
        </w:tc>
      </w:tr>
      <w:tr w:rsidR="004E652D" w14:paraId="1BFBF534" w14:textId="77777777" w:rsidTr="004E652D">
        <w:tc>
          <w:tcPr>
            <w:tcW w:w="3116" w:type="dxa"/>
            <w:hideMark/>
          </w:tcPr>
          <w:p w14:paraId="75295CB0" w14:textId="77777777"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HRP-Avidin buffer</w:t>
            </w:r>
          </w:p>
        </w:tc>
        <w:tc>
          <w:tcPr>
            <w:tcW w:w="3117" w:type="dxa"/>
            <w:hideMark/>
          </w:tcPr>
          <w:p w14:paraId="4ED5D43B" w14:textId="31681264" w:rsidR="004E652D" w:rsidRPr="004E652D" w:rsidRDefault="00D0064E">
            <w:pPr>
              <w:jc w:val="center"/>
              <w:rPr>
                <w:rFonts w:asciiTheme="majorBidi" w:hAnsiTheme="majorBidi" w:cstheme="majorBidi"/>
                <w:sz w:val="24"/>
                <w:szCs w:val="24"/>
              </w:rPr>
            </w:pPr>
            <w:r>
              <w:rPr>
                <w:rFonts w:asciiTheme="majorBidi" w:hAnsiTheme="majorBidi" w:cstheme="majorBidi"/>
                <w:sz w:val="24"/>
                <w:szCs w:val="24"/>
              </w:rPr>
              <w:t>PRA</w:t>
            </w:r>
            <w:r w:rsidR="004E652D" w:rsidRPr="004E652D">
              <w:rPr>
                <w:rFonts w:asciiTheme="majorBidi" w:hAnsiTheme="majorBidi" w:cstheme="majorBidi"/>
                <w:sz w:val="24"/>
                <w:szCs w:val="24"/>
              </w:rPr>
              <w:t>-HA</w:t>
            </w:r>
          </w:p>
        </w:tc>
        <w:tc>
          <w:tcPr>
            <w:tcW w:w="3117" w:type="dxa"/>
            <w:hideMark/>
          </w:tcPr>
          <w:p w14:paraId="7C3BC4DB" w14:textId="22C7F28A"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5 </w:t>
            </w:r>
            <w:r w:rsidR="00DA4584">
              <w:rPr>
                <w:rFonts w:asciiTheme="majorBidi" w:hAnsiTheme="majorBidi" w:cstheme="majorBidi"/>
                <w:sz w:val="24"/>
                <w:szCs w:val="24"/>
              </w:rPr>
              <w:t>ml</w:t>
            </w:r>
          </w:p>
        </w:tc>
      </w:tr>
      <w:tr w:rsidR="004E652D" w14:paraId="0F052BC2" w14:textId="77777777" w:rsidTr="004E652D">
        <w:tc>
          <w:tcPr>
            <w:tcW w:w="3116" w:type="dxa"/>
            <w:hideMark/>
          </w:tcPr>
          <w:p w14:paraId="2BFA983E" w14:textId="77777777"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HRP</w:t>
            </w:r>
          </w:p>
        </w:tc>
        <w:tc>
          <w:tcPr>
            <w:tcW w:w="3117" w:type="dxa"/>
            <w:hideMark/>
          </w:tcPr>
          <w:p w14:paraId="47AF5FE2" w14:textId="23058E07" w:rsidR="004E652D" w:rsidRPr="004E652D" w:rsidRDefault="00D0064E">
            <w:pPr>
              <w:jc w:val="center"/>
              <w:rPr>
                <w:rFonts w:asciiTheme="majorBidi" w:hAnsiTheme="majorBidi" w:cstheme="majorBidi"/>
                <w:sz w:val="24"/>
                <w:szCs w:val="24"/>
              </w:rPr>
            </w:pPr>
            <w:r>
              <w:rPr>
                <w:rFonts w:asciiTheme="majorBidi" w:hAnsiTheme="majorBidi" w:cstheme="majorBidi"/>
                <w:sz w:val="24"/>
                <w:szCs w:val="24"/>
              </w:rPr>
              <w:t>PRA</w:t>
            </w:r>
            <w:r w:rsidR="004E652D" w:rsidRPr="004E652D">
              <w:rPr>
                <w:rFonts w:asciiTheme="majorBidi" w:hAnsiTheme="majorBidi" w:cstheme="majorBidi"/>
                <w:sz w:val="24"/>
                <w:szCs w:val="24"/>
              </w:rPr>
              <w:t>-HAA</w:t>
            </w:r>
          </w:p>
        </w:tc>
        <w:tc>
          <w:tcPr>
            <w:tcW w:w="3117" w:type="dxa"/>
            <w:hideMark/>
          </w:tcPr>
          <w:p w14:paraId="2DFE4761" w14:textId="45B39DE6"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540 </w:t>
            </w:r>
            <w:r w:rsidR="00DA4584">
              <w:rPr>
                <w:rFonts w:asciiTheme="majorBidi" w:hAnsiTheme="majorBidi" w:cstheme="majorBidi"/>
                <w:sz w:val="24"/>
                <w:szCs w:val="24"/>
              </w:rPr>
              <w:t>µl</w:t>
            </w:r>
          </w:p>
        </w:tc>
      </w:tr>
      <w:tr w:rsidR="004E652D" w14:paraId="581EE496" w14:textId="77777777" w:rsidTr="004E652D">
        <w:tc>
          <w:tcPr>
            <w:tcW w:w="3116" w:type="dxa"/>
            <w:hideMark/>
          </w:tcPr>
          <w:p w14:paraId="546C6AF2" w14:textId="77777777"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Substrate</w:t>
            </w:r>
          </w:p>
        </w:tc>
        <w:tc>
          <w:tcPr>
            <w:tcW w:w="3117" w:type="dxa"/>
            <w:hideMark/>
          </w:tcPr>
          <w:p w14:paraId="5E4FABF7" w14:textId="09F1BF1E" w:rsidR="004E652D" w:rsidRPr="004E652D" w:rsidRDefault="00D0064E">
            <w:pPr>
              <w:jc w:val="center"/>
              <w:rPr>
                <w:rFonts w:asciiTheme="majorBidi" w:hAnsiTheme="majorBidi" w:cstheme="majorBidi"/>
                <w:sz w:val="24"/>
                <w:szCs w:val="24"/>
              </w:rPr>
            </w:pPr>
            <w:r>
              <w:rPr>
                <w:rFonts w:asciiTheme="majorBidi" w:hAnsiTheme="majorBidi" w:cstheme="majorBidi"/>
                <w:sz w:val="24"/>
                <w:szCs w:val="24"/>
              </w:rPr>
              <w:t>PRA</w:t>
            </w:r>
            <w:r w:rsidR="004E652D" w:rsidRPr="004E652D">
              <w:rPr>
                <w:rFonts w:asciiTheme="majorBidi" w:hAnsiTheme="majorBidi" w:cstheme="majorBidi"/>
                <w:sz w:val="24"/>
                <w:szCs w:val="24"/>
              </w:rPr>
              <w:t>-SU</w:t>
            </w:r>
          </w:p>
        </w:tc>
        <w:tc>
          <w:tcPr>
            <w:tcW w:w="3117" w:type="dxa"/>
            <w:hideMark/>
          </w:tcPr>
          <w:p w14:paraId="31850BB5" w14:textId="654BB19A"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5 </w:t>
            </w:r>
            <w:r w:rsidR="00DA4584">
              <w:rPr>
                <w:rFonts w:asciiTheme="majorBidi" w:hAnsiTheme="majorBidi" w:cstheme="majorBidi"/>
                <w:sz w:val="24"/>
                <w:szCs w:val="24"/>
              </w:rPr>
              <w:t>ml</w:t>
            </w:r>
          </w:p>
        </w:tc>
      </w:tr>
      <w:tr w:rsidR="004E652D" w14:paraId="3CE1CB45" w14:textId="77777777" w:rsidTr="004E652D">
        <w:tc>
          <w:tcPr>
            <w:tcW w:w="3116" w:type="dxa"/>
            <w:hideMark/>
          </w:tcPr>
          <w:p w14:paraId="3434336C" w14:textId="77777777"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Stopping</w:t>
            </w:r>
          </w:p>
        </w:tc>
        <w:tc>
          <w:tcPr>
            <w:tcW w:w="3117" w:type="dxa"/>
            <w:hideMark/>
          </w:tcPr>
          <w:p w14:paraId="51A58369" w14:textId="457D5DCC" w:rsidR="004E652D" w:rsidRPr="004E652D" w:rsidRDefault="00D0064E">
            <w:pPr>
              <w:jc w:val="center"/>
              <w:rPr>
                <w:rFonts w:asciiTheme="majorBidi" w:hAnsiTheme="majorBidi" w:cstheme="majorBidi"/>
                <w:sz w:val="24"/>
                <w:szCs w:val="24"/>
              </w:rPr>
            </w:pPr>
            <w:r>
              <w:rPr>
                <w:rFonts w:asciiTheme="majorBidi" w:hAnsiTheme="majorBidi" w:cstheme="majorBidi"/>
                <w:sz w:val="24"/>
                <w:szCs w:val="24"/>
              </w:rPr>
              <w:t>PRA</w:t>
            </w:r>
            <w:r w:rsidR="004E652D" w:rsidRPr="004E652D">
              <w:rPr>
                <w:rFonts w:asciiTheme="majorBidi" w:hAnsiTheme="majorBidi" w:cstheme="majorBidi"/>
                <w:sz w:val="24"/>
                <w:szCs w:val="24"/>
              </w:rPr>
              <w:t>-ST</w:t>
            </w:r>
          </w:p>
        </w:tc>
        <w:tc>
          <w:tcPr>
            <w:tcW w:w="3117" w:type="dxa"/>
            <w:hideMark/>
          </w:tcPr>
          <w:p w14:paraId="55AF306E" w14:textId="46ABF53E"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7 </w:t>
            </w:r>
            <w:r w:rsidR="00DA4584">
              <w:rPr>
                <w:rFonts w:asciiTheme="majorBidi" w:hAnsiTheme="majorBidi" w:cstheme="majorBidi"/>
                <w:sz w:val="24"/>
                <w:szCs w:val="24"/>
              </w:rPr>
              <w:t>ml</w:t>
            </w:r>
          </w:p>
        </w:tc>
      </w:tr>
      <w:tr w:rsidR="004E652D" w14:paraId="6739AFFF" w14:textId="77777777" w:rsidTr="004E652D">
        <w:trPr>
          <w:trHeight w:val="70"/>
        </w:trPr>
        <w:tc>
          <w:tcPr>
            <w:tcW w:w="3116" w:type="dxa"/>
            <w:hideMark/>
          </w:tcPr>
          <w:p w14:paraId="3D3FF1B4" w14:textId="77777777"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10X washing buffer</w:t>
            </w:r>
          </w:p>
        </w:tc>
        <w:tc>
          <w:tcPr>
            <w:tcW w:w="3117" w:type="dxa"/>
            <w:hideMark/>
          </w:tcPr>
          <w:p w14:paraId="592865D9" w14:textId="69CF686B" w:rsidR="004E652D" w:rsidRPr="004E652D" w:rsidRDefault="00D0064E">
            <w:pPr>
              <w:jc w:val="center"/>
              <w:rPr>
                <w:rFonts w:asciiTheme="majorBidi" w:hAnsiTheme="majorBidi" w:cstheme="majorBidi"/>
                <w:sz w:val="24"/>
                <w:szCs w:val="24"/>
              </w:rPr>
            </w:pPr>
            <w:r>
              <w:rPr>
                <w:rFonts w:asciiTheme="majorBidi" w:hAnsiTheme="majorBidi" w:cstheme="majorBidi"/>
                <w:sz w:val="24"/>
                <w:szCs w:val="24"/>
              </w:rPr>
              <w:t>PRA</w:t>
            </w:r>
            <w:r w:rsidR="004E652D" w:rsidRPr="004E652D">
              <w:rPr>
                <w:rFonts w:asciiTheme="majorBidi" w:hAnsiTheme="majorBidi" w:cstheme="majorBidi"/>
                <w:sz w:val="24"/>
                <w:szCs w:val="24"/>
              </w:rPr>
              <w:t>-WB</w:t>
            </w:r>
          </w:p>
        </w:tc>
        <w:tc>
          <w:tcPr>
            <w:tcW w:w="3117" w:type="dxa"/>
            <w:hideMark/>
          </w:tcPr>
          <w:p w14:paraId="7DD81F67" w14:textId="7653FE9C"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40 </w:t>
            </w:r>
            <w:r w:rsidR="00DA4584">
              <w:rPr>
                <w:rFonts w:asciiTheme="majorBidi" w:hAnsiTheme="majorBidi" w:cstheme="majorBidi"/>
                <w:sz w:val="24"/>
                <w:szCs w:val="24"/>
              </w:rPr>
              <w:t>ml</w:t>
            </w:r>
          </w:p>
        </w:tc>
      </w:tr>
      <w:tr w:rsidR="004E652D" w14:paraId="40AFA998" w14:textId="77777777" w:rsidTr="004E652D">
        <w:tc>
          <w:tcPr>
            <w:tcW w:w="3116" w:type="dxa"/>
            <w:hideMark/>
          </w:tcPr>
          <w:p w14:paraId="2B21B3F6" w14:textId="77777777" w:rsidR="004E652D" w:rsidRPr="004E652D" w:rsidRDefault="004E652D">
            <w:pPr>
              <w:jc w:val="center"/>
              <w:rPr>
                <w:rFonts w:asciiTheme="majorBidi" w:hAnsiTheme="majorBidi" w:cstheme="majorBidi"/>
                <w:sz w:val="24"/>
                <w:szCs w:val="24"/>
                <w:lang w:bidi="fa-IR"/>
              </w:rPr>
            </w:pPr>
            <w:r w:rsidRPr="004E652D">
              <w:rPr>
                <w:rFonts w:asciiTheme="majorBidi" w:hAnsiTheme="majorBidi" w:cstheme="majorBidi"/>
                <w:sz w:val="24"/>
                <w:szCs w:val="24"/>
                <w:lang w:bidi="fa-IR"/>
              </w:rPr>
              <w:t>Detection Ab</w:t>
            </w:r>
          </w:p>
        </w:tc>
        <w:tc>
          <w:tcPr>
            <w:tcW w:w="3117" w:type="dxa"/>
            <w:hideMark/>
          </w:tcPr>
          <w:p w14:paraId="4701B48A" w14:textId="0B4E48B9" w:rsidR="004E652D" w:rsidRPr="004E652D" w:rsidRDefault="00D0064E">
            <w:pPr>
              <w:jc w:val="center"/>
              <w:rPr>
                <w:rFonts w:asciiTheme="majorBidi" w:hAnsiTheme="majorBidi" w:cstheme="majorBidi"/>
                <w:sz w:val="24"/>
                <w:szCs w:val="24"/>
                <w:rtl/>
              </w:rPr>
            </w:pPr>
            <w:r>
              <w:rPr>
                <w:rFonts w:asciiTheme="majorBidi" w:hAnsiTheme="majorBidi" w:cstheme="majorBidi"/>
                <w:sz w:val="24"/>
                <w:szCs w:val="24"/>
              </w:rPr>
              <w:t>PRA</w:t>
            </w:r>
            <w:r w:rsidR="004E652D" w:rsidRPr="004E652D">
              <w:rPr>
                <w:rFonts w:asciiTheme="majorBidi" w:hAnsiTheme="majorBidi" w:cstheme="majorBidi"/>
                <w:sz w:val="24"/>
                <w:szCs w:val="24"/>
              </w:rPr>
              <w:t>-</w:t>
            </w:r>
            <w:r w:rsidR="004E652D" w:rsidRPr="004E652D">
              <w:rPr>
                <w:rFonts w:asciiTheme="majorBidi" w:hAnsiTheme="majorBidi" w:cstheme="majorBidi"/>
                <w:sz w:val="24"/>
                <w:szCs w:val="24"/>
                <w:lang w:val="en"/>
              </w:rPr>
              <w:t>TGF</w:t>
            </w:r>
            <w:r w:rsidR="004E652D" w:rsidRPr="004E652D">
              <w:rPr>
                <w:rFonts w:asciiTheme="majorBidi" w:hAnsiTheme="majorBidi" w:cstheme="majorBidi"/>
                <w:sz w:val="24"/>
                <w:szCs w:val="24"/>
              </w:rPr>
              <w:t>D</w:t>
            </w:r>
          </w:p>
        </w:tc>
        <w:tc>
          <w:tcPr>
            <w:tcW w:w="3117" w:type="dxa"/>
            <w:hideMark/>
          </w:tcPr>
          <w:p w14:paraId="2777F99C" w14:textId="4A9C2B6E" w:rsidR="004E652D" w:rsidRPr="004E652D" w:rsidRDefault="004E652D">
            <w:pPr>
              <w:jc w:val="center"/>
              <w:rPr>
                <w:rFonts w:asciiTheme="majorBidi" w:hAnsiTheme="majorBidi" w:cstheme="majorBidi"/>
                <w:sz w:val="24"/>
                <w:szCs w:val="24"/>
              </w:rPr>
            </w:pPr>
            <w:r w:rsidRPr="004E652D">
              <w:rPr>
                <w:rFonts w:asciiTheme="majorBidi" w:hAnsiTheme="majorBidi" w:cstheme="majorBidi"/>
                <w:sz w:val="24"/>
                <w:szCs w:val="24"/>
              </w:rPr>
              <w:t xml:space="preserve">5 </w:t>
            </w:r>
            <w:r w:rsidR="00DA4584">
              <w:rPr>
                <w:rFonts w:asciiTheme="majorBidi" w:hAnsiTheme="majorBidi" w:cstheme="majorBidi"/>
                <w:sz w:val="24"/>
                <w:szCs w:val="24"/>
              </w:rPr>
              <w:t>ml</w:t>
            </w:r>
          </w:p>
        </w:tc>
      </w:tr>
    </w:tbl>
    <w:p w14:paraId="7B640E34" w14:textId="066C648C" w:rsidR="00B12571" w:rsidRPr="00465BE1" w:rsidRDefault="00B1257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AECD8B9" w14:textId="4380E01D" w:rsidR="00B12571" w:rsidRDefault="002935BE" w:rsidP="00B84821">
      <w:pPr>
        <w:rPr>
          <w:rFonts w:asciiTheme="majorBidi" w:hAnsiTheme="majorBidi" w:cstheme="majorBidi"/>
          <w:sz w:val="32"/>
          <w:szCs w:val="32"/>
          <w:lang w:bidi="fa-IR"/>
        </w:rPr>
      </w:pPr>
      <w:r w:rsidRPr="00E05228">
        <w:rPr>
          <w:rFonts w:asciiTheme="majorBidi" w:hAnsiTheme="majorBidi" w:cstheme="majorBidi"/>
          <w:sz w:val="28"/>
          <w:szCs w:val="28"/>
          <w:lang w:bidi="fa-IR"/>
        </w:rPr>
        <w:t xml:space="preserve">All </w:t>
      </w:r>
      <w:r w:rsidR="00305509" w:rsidRPr="00E05228">
        <w:rPr>
          <w:rFonts w:asciiTheme="majorBidi" w:hAnsiTheme="majorBidi" w:cstheme="majorBidi"/>
          <w:sz w:val="28"/>
          <w:szCs w:val="28"/>
          <w:lang w:bidi="fa-IR"/>
        </w:rPr>
        <w:t>Elisa</w:t>
      </w:r>
      <w:r w:rsidRPr="00E05228">
        <w:rPr>
          <w:rFonts w:asciiTheme="majorBidi" w:hAnsiTheme="majorBidi" w:cstheme="majorBidi"/>
          <w:sz w:val="28"/>
          <w:szCs w:val="28"/>
          <w:lang w:bidi="fa-IR"/>
        </w:rPr>
        <w:t xml:space="preserve"> kit</w:t>
      </w:r>
      <w:r w:rsidR="00305509" w:rsidRPr="00E05228">
        <w:rPr>
          <w:rFonts w:asciiTheme="majorBidi" w:hAnsiTheme="majorBidi" w:cstheme="majorBidi"/>
          <w:sz w:val="28"/>
          <w:szCs w:val="28"/>
          <w:lang w:bidi="fa-IR"/>
        </w:rPr>
        <w:t>s</w:t>
      </w:r>
      <w:r w:rsidRPr="00E05228">
        <w:rPr>
          <w:rFonts w:asciiTheme="majorBidi" w:hAnsiTheme="majorBidi" w:cstheme="majorBidi"/>
          <w:sz w:val="28"/>
          <w:szCs w:val="28"/>
          <w:lang w:bidi="fa-IR"/>
        </w:rPr>
        <w:t xml:space="preserve"> components can be stored at </w:t>
      </w:r>
      <w:r w:rsidR="00DA4584" w:rsidRPr="00E05228">
        <w:rPr>
          <w:rFonts w:asciiTheme="majorBidi" w:hAnsiTheme="majorBidi" w:cstheme="majorBidi"/>
          <w:sz w:val="28"/>
          <w:szCs w:val="28"/>
          <w:lang w:bidi="fa-IR"/>
        </w:rPr>
        <w:t>4</w:t>
      </w:r>
      <w:r w:rsidR="00DA4584" w:rsidRPr="00E05228">
        <w:rPr>
          <w:rFonts w:asciiTheme="majorBidi" w:hAnsiTheme="majorBidi" w:cstheme="majorBidi"/>
          <w:sz w:val="28"/>
          <w:szCs w:val="28"/>
          <w:vertAlign w:val="superscript"/>
          <w:lang w:bidi="fa-IR"/>
        </w:rPr>
        <w:t>o</w:t>
      </w:r>
      <w:r w:rsidR="00DA4584" w:rsidRPr="00E05228">
        <w:rPr>
          <w:rFonts w:asciiTheme="majorBidi" w:hAnsiTheme="majorBidi" w:cstheme="majorBidi"/>
          <w:sz w:val="28"/>
          <w:szCs w:val="28"/>
          <w:lang w:bidi="fa-IR"/>
        </w:rPr>
        <w:t>C</w:t>
      </w:r>
      <w:r w:rsidRPr="00E05228">
        <w:rPr>
          <w:rFonts w:asciiTheme="majorBidi" w:hAnsiTheme="majorBidi" w:cstheme="majorBidi"/>
          <w:sz w:val="28"/>
          <w:szCs w:val="28"/>
          <w:lang w:bidi="fa-IR"/>
        </w:rPr>
        <w:t xml:space="preserve"> temperature</w:t>
      </w:r>
      <w:r w:rsidRPr="00305509">
        <w:rPr>
          <w:rFonts w:asciiTheme="majorBidi" w:hAnsiTheme="majorBidi" w:cstheme="majorBidi"/>
          <w:sz w:val="32"/>
          <w:szCs w:val="32"/>
          <w:lang w:bidi="fa-IR"/>
        </w:rPr>
        <w:t>.</w:t>
      </w:r>
      <w:r w:rsidRPr="002935BE">
        <w:rPr>
          <w:rFonts w:asciiTheme="majorBidi" w:hAnsiTheme="majorBidi" w:cstheme="majorBidi"/>
          <w:sz w:val="32"/>
          <w:szCs w:val="32"/>
          <w:lang w:bidi="fa-IR"/>
        </w:rPr>
        <w:t xml:space="preserve"> </w:t>
      </w:r>
    </w:p>
    <w:p w14:paraId="0B71FC8B" w14:textId="77777777" w:rsidR="00305509" w:rsidRPr="00305509" w:rsidRDefault="00305509"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3FA506D3" w14:textId="4859F395" w:rsidR="004E052C" w:rsidRDefault="004E052C" w:rsidP="004E052C">
      <w:pPr>
        <w:rPr>
          <w:rFonts w:asciiTheme="majorBidi" w:hAnsiTheme="majorBidi" w:cstheme="majorBidi"/>
          <w:sz w:val="20"/>
          <w:szCs w:val="20"/>
          <w:lang w:bidi="fa-IR"/>
        </w:rPr>
      </w:pPr>
    </w:p>
    <w:p w14:paraId="5E24F119" w14:textId="6DAD05D0" w:rsidR="00DA4584" w:rsidRDefault="00E05228" w:rsidP="004E052C">
      <w:pPr>
        <w:rPr>
          <w:rFonts w:asciiTheme="majorBidi" w:hAnsiTheme="majorBidi" w:cstheme="majorBidi"/>
          <w:sz w:val="28"/>
          <w:szCs w:val="28"/>
          <w:lang w:bidi="fa-IR"/>
        </w:rPr>
      </w:pPr>
      <w:r w:rsidRPr="00E05228">
        <w:rPr>
          <w:rFonts w:asciiTheme="majorBidi" w:hAnsiTheme="majorBidi" w:cstheme="majorBidi"/>
          <w:sz w:val="28"/>
          <w:szCs w:val="28"/>
          <w:lang w:bidi="fa-IR"/>
        </w:rPr>
        <w:t>Detection of inflammatory and anti-inflammatory factors.</w:t>
      </w:r>
    </w:p>
    <w:p w14:paraId="21C4EEFB" w14:textId="77777777" w:rsidR="00E05228" w:rsidRPr="00E05228" w:rsidRDefault="00E05228" w:rsidP="004E052C">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22AED4F2" w14:textId="77777777" w:rsidR="004E652D" w:rsidRPr="004E652D" w:rsidRDefault="004E652D" w:rsidP="004E652D">
      <w:pPr>
        <w:rPr>
          <w:rFonts w:asciiTheme="majorBidi" w:hAnsiTheme="majorBidi" w:cstheme="majorBidi"/>
          <w:b/>
          <w:bCs/>
          <w:sz w:val="20"/>
          <w:szCs w:val="20"/>
          <w:lang w:val="en"/>
        </w:rPr>
      </w:pPr>
    </w:p>
    <w:p w14:paraId="4E8900AC" w14:textId="44DED4CA" w:rsidR="00465BE1" w:rsidRPr="00465BE1" w:rsidRDefault="00465BE1" w:rsidP="00465BE1">
      <w:pPr>
        <w:shd w:val="clear" w:color="auto" w:fill="FFFFFF" w:themeFill="background1"/>
        <w:spacing w:after="40"/>
        <w:jc w:val="both"/>
        <w:rPr>
          <w:rFonts w:asciiTheme="majorBidi" w:hAnsiTheme="majorBidi" w:cstheme="majorBidi"/>
          <w:b/>
          <w:bCs/>
          <w:sz w:val="28"/>
          <w:szCs w:val="28"/>
        </w:rPr>
      </w:pPr>
      <w:r w:rsidRPr="00465BE1">
        <w:rPr>
          <w:rFonts w:asciiTheme="majorBidi" w:hAnsiTheme="majorBidi" w:cstheme="majorBidi"/>
          <w:b/>
          <w:bCs/>
          <w:sz w:val="28"/>
          <w:szCs w:val="28"/>
        </w:rPr>
        <w:t>How to Prepare Solutions:</w:t>
      </w:r>
    </w:p>
    <w:p w14:paraId="03BFD2D4" w14:textId="0A7EFDE4"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1. Washing Buffer:</w:t>
      </w:r>
    </w:p>
    <w:p w14:paraId="7107B082"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 xml:space="preserve">   - To prepare the washing solution, dilute this solution with distilled water 10 times.</w:t>
      </w:r>
    </w:p>
    <w:p w14:paraId="7F820231" w14:textId="1510BDE9"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2. HRP-Avidin:</w:t>
      </w:r>
    </w:p>
    <w:p w14:paraId="399B0724"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 xml:space="preserve">   - To prepare this solution, spin the HRP vial using a microfuge device, then add all its contents to the HRP-Avidin buffer vial. If quantities less than 48 assays are used, mix 416 µl of HRP-Avidin and 41 µl of HRP per 8-well row.</w:t>
      </w:r>
    </w:p>
    <w:p w14:paraId="0AC33242" w14:textId="73775772"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How to Work with the Kit to Measure TGF-β:</w:t>
      </w:r>
    </w:p>
    <w:p w14:paraId="2A4B0C6B"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1. Remove the plate from the desired package and bring it to room temperature in a dry environment.</w:t>
      </w:r>
    </w:p>
    <w:p w14:paraId="4B2949C2"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2. Add 50 µl of standards 1 to 4 to the first to fourth wells.</w:t>
      </w:r>
    </w:p>
    <w:p w14:paraId="2A9C2037"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3. Add 50 µl of the desired sample to the rest of the wells and incubate for 60 minutes on a 200 RPM shaker at room temperature.</w:t>
      </w:r>
    </w:p>
    <w:p w14:paraId="2A8ECF4F"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4. After proper incubation, wash the plates 3 times using the washing solution (after adding the washing solution, incubate the plates for approximately 1 minute at room temperature and then drain).</w:t>
      </w:r>
    </w:p>
    <w:p w14:paraId="64C5D27A"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5. Add 50 µl of conjugated antibody (Detection ab) to all wells and incubate for 60 minutes on a 200 RPM shaker at room temperature.</w:t>
      </w:r>
    </w:p>
    <w:p w14:paraId="736771E7"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6. After proper incubation, wash the plates 3 times using washing solution.</w:t>
      </w:r>
    </w:p>
    <w:p w14:paraId="1A0398DB" w14:textId="77777777" w:rsidR="00465BE1" w:rsidRPr="00465BE1" w:rsidRDefault="00465BE1" w:rsidP="00465BE1">
      <w:pPr>
        <w:shd w:val="clear" w:color="auto" w:fill="FFFFFF" w:themeFill="background1"/>
        <w:spacing w:after="40"/>
        <w:jc w:val="both"/>
        <w:rPr>
          <w:rFonts w:asciiTheme="majorBidi" w:hAnsiTheme="majorBidi" w:cstheme="majorBidi"/>
          <w:sz w:val="20"/>
          <w:szCs w:val="20"/>
        </w:rPr>
      </w:pPr>
    </w:p>
    <w:p w14:paraId="524F05DC" w14:textId="25A3DA8A"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7. Add 50 µl of HRP-Avidin solution to all wells and incubate for 30 minutes on a shaker (at least at RPM 200).</w:t>
      </w:r>
    </w:p>
    <w:p w14:paraId="79154A12"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8. After proper incubation, wash the plates 5 times using washing solution.</w:t>
      </w:r>
    </w:p>
    <w:p w14:paraId="416048D7" w14:textId="77777777" w:rsidR="00465BE1" w:rsidRPr="00465BE1"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9. Add 50 µl of substrate to all wells and incubate for 15 minutes. Note that 15 minutes is enough for incubation, but if the amount of color produced is low, the time can be increased to 20 minutes.</w:t>
      </w:r>
    </w:p>
    <w:p w14:paraId="09CD6D72" w14:textId="170BD04B" w:rsidR="004E652D" w:rsidRDefault="00465BE1" w:rsidP="00465BE1">
      <w:pPr>
        <w:shd w:val="clear" w:color="auto" w:fill="FFFFFF" w:themeFill="background1"/>
        <w:spacing w:after="40"/>
        <w:jc w:val="both"/>
        <w:rPr>
          <w:rFonts w:asciiTheme="majorBidi" w:hAnsiTheme="majorBidi" w:cstheme="majorBidi"/>
          <w:sz w:val="28"/>
          <w:szCs w:val="28"/>
        </w:rPr>
      </w:pPr>
      <w:r w:rsidRPr="00465BE1">
        <w:rPr>
          <w:rFonts w:asciiTheme="majorBidi" w:hAnsiTheme="majorBidi" w:cstheme="majorBidi"/>
          <w:sz w:val="28"/>
          <w:szCs w:val="28"/>
        </w:rPr>
        <w:t>10. Add 25 µl of the stopping solution to all the wells and measure the absorbance of the samples in an ELISA reader at a wavelength of 450 nm.</w:t>
      </w:r>
    </w:p>
    <w:p w14:paraId="3B4292B5" w14:textId="77777777" w:rsidR="00465BE1" w:rsidRPr="00465BE1" w:rsidRDefault="00465BE1" w:rsidP="00465BE1">
      <w:pPr>
        <w:shd w:val="clear" w:color="auto" w:fill="FFFFFF" w:themeFill="background1"/>
        <w:spacing w:after="40"/>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4281DD6C" w14:textId="77777777" w:rsidR="004E652D" w:rsidRPr="00465BE1" w:rsidRDefault="004E652D" w:rsidP="00305509">
      <w:pPr>
        <w:shd w:val="clear" w:color="auto" w:fill="FFFFFF" w:themeFill="background1"/>
        <w:jc w:val="both"/>
        <w:rPr>
          <w:rFonts w:asciiTheme="majorBidi" w:hAnsiTheme="majorBidi" w:cstheme="majorBidi"/>
          <w:sz w:val="20"/>
          <w:szCs w:val="20"/>
        </w:rPr>
      </w:pPr>
    </w:p>
    <w:p w14:paraId="576CFEF0" w14:textId="77777777" w:rsidR="00465BE1" w:rsidRPr="00465BE1" w:rsidRDefault="00465BE1" w:rsidP="00465BE1">
      <w:pPr>
        <w:rPr>
          <w:rFonts w:asciiTheme="majorBidi" w:hAnsiTheme="majorBidi" w:cstheme="majorBidi"/>
          <w:sz w:val="28"/>
          <w:szCs w:val="28"/>
          <w:lang w:bidi="fa-IR"/>
        </w:rPr>
      </w:pPr>
      <w:r w:rsidRPr="00465BE1">
        <w:rPr>
          <w:rFonts w:asciiTheme="majorBidi" w:hAnsiTheme="majorBidi" w:cstheme="majorBidi"/>
          <w:sz w:val="28"/>
          <w:szCs w:val="28"/>
          <w:lang w:bidi="fa-IR"/>
        </w:rPr>
        <w:t xml:space="preserve">- The solutions used in the kit have oxidizing and acidic properties. </w:t>
      </w:r>
    </w:p>
    <w:p w14:paraId="0B7D19CD" w14:textId="77777777" w:rsidR="00465BE1" w:rsidRPr="00465BE1" w:rsidRDefault="00465BE1" w:rsidP="00465BE1">
      <w:pPr>
        <w:rPr>
          <w:rFonts w:asciiTheme="majorBidi" w:hAnsiTheme="majorBidi" w:cstheme="majorBidi"/>
          <w:sz w:val="28"/>
          <w:szCs w:val="28"/>
          <w:lang w:bidi="fa-IR"/>
        </w:rPr>
      </w:pPr>
      <w:r w:rsidRPr="00465BE1">
        <w:rPr>
          <w:rFonts w:asciiTheme="majorBidi" w:hAnsiTheme="majorBidi" w:cstheme="majorBidi"/>
          <w:sz w:val="28"/>
          <w:szCs w:val="28"/>
          <w:lang w:bidi="fa-IR"/>
        </w:rPr>
        <w:t>- Avoid direct contact with skin and eyes.</w:t>
      </w:r>
    </w:p>
    <w:p w14:paraId="54E7B6A6" w14:textId="76721A52" w:rsidR="00292CE8" w:rsidRDefault="00465BE1" w:rsidP="00465BE1">
      <w:pPr>
        <w:rPr>
          <w:rFonts w:asciiTheme="majorBidi" w:hAnsiTheme="majorBidi" w:cstheme="majorBidi"/>
          <w:sz w:val="28"/>
          <w:szCs w:val="28"/>
          <w:lang w:bidi="fa-IR"/>
        </w:rPr>
      </w:pPr>
      <w:r w:rsidRPr="00465BE1">
        <w:rPr>
          <w:rFonts w:asciiTheme="majorBidi" w:hAnsiTheme="majorBidi" w:cstheme="majorBidi"/>
          <w:sz w:val="28"/>
          <w:szCs w:val="28"/>
          <w:lang w:bidi="fa-IR"/>
        </w:rPr>
        <w:t>- In case of contact with the mentioned tissues, wash with plenty of water and go to the nearest medical center.</w:t>
      </w:r>
    </w:p>
    <w:p w14:paraId="1268BE3E" w14:textId="77777777" w:rsidR="00465BE1" w:rsidRPr="00465BE1" w:rsidRDefault="00465BE1" w:rsidP="00465BE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Pr="00DA4584" w:rsidRDefault="00292CE8"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17642F0F" w14:textId="77777777" w:rsidR="00DA4584" w:rsidRPr="00465BE1" w:rsidRDefault="00DA4584" w:rsidP="00BF5325">
      <w:pPr>
        <w:spacing w:after="0" w:line="240" w:lineRule="auto"/>
        <w:jc w:val="both"/>
        <w:rPr>
          <w:rFonts w:asciiTheme="majorBidi" w:hAnsiTheme="majorBidi" w:cstheme="majorBidi"/>
          <w:sz w:val="20"/>
          <w:szCs w:val="20"/>
          <w:lang w:bidi="fa-IR"/>
        </w:rPr>
      </w:pPr>
    </w:p>
    <w:p w14:paraId="4C80A0A7" w14:textId="4F1077E0" w:rsidR="00465BE1" w:rsidRDefault="00465BE1" w:rsidP="00465BE1">
      <w:pPr>
        <w:spacing w:after="0" w:line="240" w:lineRule="auto"/>
        <w:jc w:val="both"/>
        <w:rPr>
          <w:rFonts w:asciiTheme="majorBidi" w:hAnsiTheme="majorBidi" w:cstheme="majorBidi"/>
          <w:sz w:val="28"/>
          <w:szCs w:val="28"/>
          <w:lang w:bidi="fa-IR"/>
        </w:rPr>
      </w:pPr>
      <w:r w:rsidRPr="00465BE1">
        <w:rPr>
          <w:rFonts w:asciiTheme="majorBidi" w:hAnsiTheme="majorBidi" w:cstheme="majorBidi"/>
          <w:sz w:val="28"/>
          <w:szCs w:val="28"/>
          <w:lang w:bidi="fa-IR"/>
        </w:rPr>
        <w:t>This product is developed, designed, and sold exclusively for research purposes use. The product was not tested for use in diagnostics or for drug development, nor is it suitable for administration to humans or animals.</w:t>
      </w:r>
    </w:p>
    <w:p w14:paraId="45D3BD4B" w14:textId="77777777" w:rsidR="00465BE1" w:rsidRDefault="00465BE1">
      <w:pPr>
        <w:rPr>
          <w:rFonts w:asciiTheme="majorBidi" w:hAnsiTheme="majorBidi" w:cstheme="majorBidi"/>
          <w:sz w:val="28"/>
          <w:szCs w:val="28"/>
          <w:lang w:bidi="fa-IR"/>
        </w:rPr>
      </w:pPr>
      <w:r>
        <w:rPr>
          <w:rFonts w:asciiTheme="majorBidi" w:hAnsiTheme="majorBidi" w:cstheme="majorBidi"/>
          <w:sz w:val="28"/>
          <w:szCs w:val="28"/>
          <w:lang w:bidi="fa-IR"/>
        </w:rPr>
        <w:br w:type="page"/>
      </w:r>
    </w:p>
    <w:p w14:paraId="55E3580A" w14:textId="77777777" w:rsidR="00465BE1" w:rsidRDefault="00465BE1" w:rsidP="00465BE1">
      <w:pPr>
        <w:spacing w:after="0" w:line="240" w:lineRule="auto"/>
        <w:jc w:val="both"/>
        <w:rPr>
          <w:rFonts w:asciiTheme="majorBidi" w:hAnsiTheme="majorBidi" w:cstheme="majorBidi"/>
          <w:lang w:bidi="fa-IR"/>
        </w:rPr>
      </w:pPr>
    </w:p>
    <w:p w14:paraId="0C78EBB0" w14:textId="77777777" w:rsidR="00DA4584" w:rsidRPr="00465BE1" w:rsidRDefault="00DA4584"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4C9959AC" w:rsidR="00BF5325" w:rsidRDefault="00BF5325" w:rsidP="00BF5325">
      <w:pPr>
        <w:spacing w:after="0" w:line="240" w:lineRule="auto"/>
        <w:jc w:val="both"/>
        <w:rPr>
          <w:rFonts w:asciiTheme="majorBidi" w:hAnsiTheme="majorBidi" w:cstheme="majorBidi"/>
          <w:sz w:val="20"/>
          <w:szCs w:val="20"/>
          <w:lang w:bidi="fa-IR"/>
        </w:rPr>
      </w:pPr>
    </w:p>
    <w:p w14:paraId="37878AC6" w14:textId="77777777" w:rsidR="004E652D" w:rsidRPr="00B000FF" w:rsidRDefault="004E652D" w:rsidP="00DA4584">
      <w:pPr>
        <w:shd w:val="clear" w:color="auto" w:fill="FFFFFF" w:themeFill="background1"/>
        <w:jc w:val="both"/>
        <w:rPr>
          <w:rFonts w:asciiTheme="majorBidi" w:hAnsiTheme="majorBidi" w:cstheme="majorBidi"/>
          <w:sz w:val="28"/>
          <w:szCs w:val="28"/>
          <w:lang w:bidi="fa-IR"/>
        </w:rPr>
      </w:pPr>
      <w:r w:rsidRPr="00B000FF">
        <w:rPr>
          <w:rFonts w:asciiTheme="majorBidi" w:hAnsiTheme="majorBidi" w:cstheme="majorBidi"/>
          <w:sz w:val="28"/>
          <w:szCs w:val="28"/>
          <w:lang w:val="en" w:bidi="fa-IR"/>
        </w:rPr>
        <w:t>Other ELISA kits</w:t>
      </w:r>
      <w:r>
        <w:rPr>
          <w:rFonts w:asciiTheme="majorBidi" w:hAnsiTheme="majorBidi" w:cstheme="majorBidi"/>
          <w:sz w:val="28"/>
          <w:szCs w:val="28"/>
          <w:lang w:val="en" w:bidi="fa-IR"/>
        </w:rPr>
        <w:t>:</w:t>
      </w:r>
      <w:r w:rsidRPr="00B000FF">
        <w:rPr>
          <w:rFonts w:asciiTheme="majorBidi" w:hAnsiTheme="majorBidi" w:cstheme="majorBidi"/>
          <w:sz w:val="28"/>
          <w:szCs w:val="28"/>
          <w:lang w:val="en" w:bidi="fa-IR"/>
        </w:rPr>
        <w:t xml:space="preserve"> </w:t>
      </w:r>
    </w:p>
    <w:p w14:paraId="65E3AF2F" w14:textId="77777777" w:rsidR="004E652D" w:rsidRPr="00D63A26" w:rsidRDefault="004E652D" w:rsidP="00DA4584">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Human:</w:t>
      </w:r>
    </w:p>
    <w:p w14:paraId="6AC4956F" w14:textId="77777777" w:rsidR="004E652D" w:rsidRDefault="004E652D" w:rsidP="00DA4584">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IL-1β, IL-2, IL-4, IL-6, IL-8, IL-10, IL-12, IL-13, IL-18, IL-23, IL-29, IL-17A, TGF-β, VEGF,</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TNF-α, IFN-γ, CCL2 (MCP-1), CCL3 (MIP-1-alpha), CXCL10 (IP-10), CXCL12 (SDF-1)</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CCL21</w:t>
      </w:r>
    </w:p>
    <w:p w14:paraId="12A5AABA" w14:textId="77777777" w:rsidR="004E652D" w:rsidRPr="00D63A26" w:rsidRDefault="004E652D" w:rsidP="00DA4584">
      <w:pPr>
        <w:spacing w:after="0" w:line="240" w:lineRule="auto"/>
        <w:jc w:val="both"/>
        <w:rPr>
          <w:rFonts w:asciiTheme="majorBidi" w:hAnsiTheme="majorBidi" w:cstheme="majorBidi"/>
          <w:sz w:val="20"/>
          <w:szCs w:val="20"/>
          <w:lang w:bidi="fa-IR"/>
        </w:rPr>
      </w:pPr>
    </w:p>
    <w:p w14:paraId="78936E85" w14:textId="77777777" w:rsidR="004E652D" w:rsidRPr="00D63A26" w:rsidRDefault="004E652D" w:rsidP="00DA4584">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Mouse:</w:t>
      </w:r>
    </w:p>
    <w:p w14:paraId="4B03D30F" w14:textId="1B10D4C0" w:rsidR="004E652D" w:rsidRPr="00B000FF" w:rsidRDefault="004E652D" w:rsidP="00DA4584">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IL-2</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IL-4</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IL-33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IL-18</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TNF-α</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TGF-β</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CCL3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IFN-γ</w:t>
      </w:r>
      <w:r>
        <w:rPr>
          <w:rFonts w:asciiTheme="majorBidi" w:hAnsiTheme="majorBidi" w:cstheme="majorBidi"/>
          <w:sz w:val="28"/>
          <w:szCs w:val="28"/>
          <w:lang w:bidi="fa-IR"/>
        </w:rPr>
        <w:t>,</w:t>
      </w:r>
    </w:p>
    <w:p w14:paraId="6CC4D245" w14:textId="77777777" w:rsidR="004E652D" w:rsidRDefault="004E652D" w:rsidP="00DA4584">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Total IgG</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 xml:space="preserve">Total </w:t>
      </w:r>
      <w:proofErr w:type="spellStart"/>
      <w:r w:rsidRPr="00B000FF">
        <w:rPr>
          <w:rFonts w:asciiTheme="majorBidi" w:hAnsiTheme="majorBidi" w:cstheme="majorBidi"/>
          <w:sz w:val="28"/>
          <w:szCs w:val="28"/>
          <w:lang w:bidi="fa-IR"/>
        </w:rPr>
        <w:t>IgE</w:t>
      </w:r>
      <w:proofErr w:type="spellEnd"/>
    </w:p>
    <w:p w14:paraId="55C38984" w14:textId="77777777" w:rsidR="004E652D" w:rsidRPr="00D63A26" w:rsidRDefault="004E652D" w:rsidP="00DA4584">
      <w:pPr>
        <w:spacing w:after="0" w:line="240" w:lineRule="auto"/>
        <w:jc w:val="both"/>
        <w:rPr>
          <w:rFonts w:asciiTheme="majorBidi" w:hAnsiTheme="majorBidi" w:cstheme="majorBidi"/>
          <w:sz w:val="20"/>
          <w:szCs w:val="20"/>
          <w:lang w:bidi="fa-IR"/>
        </w:rPr>
      </w:pPr>
    </w:p>
    <w:p w14:paraId="497F6EE2" w14:textId="77777777" w:rsidR="004E652D" w:rsidRPr="00D63A26" w:rsidRDefault="004E652D" w:rsidP="00DA4584">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Rat:</w:t>
      </w:r>
    </w:p>
    <w:p w14:paraId="0620242C" w14:textId="04A96B26" w:rsidR="00DA4584" w:rsidRDefault="004E652D" w:rsidP="00DA4584">
      <w:pPr>
        <w:spacing w:after="0" w:line="240" w:lineRule="auto"/>
        <w:jc w:val="both"/>
        <w:rPr>
          <w:rFonts w:asciiTheme="majorBidi" w:hAnsiTheme="majorBidi" w:cstheme="majorBidi"/>
          <w:sz w:val="28"/>
          <w:szCs w:val="28"/>
          <w:lang w:bidi="fa-IR"/>
        </w:rPr>
      </w:pPr>
      <w:r w:rsidRPr="00D63A26">
        <w:rPr>
          <w:rFonts w:asciiTheme="majorBidi" w:hAnsiTheme="majorBidi" w:cstheme="majorBidi"/>
          <w:sz w:val="28"/>
          <w:szCs w:val="28"/>
          <w:lang w:bidi="fa-IR"/>
        </w:rPr>
        <w:t>TNF-α</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IL-17A</w:t>
      </w:r>
    </w:p>
    <w:p w14:paraId="72804D92" w14:textId="77777777" w:rsidR="00DA4584" w:rsidRPr="00DA4584" w:rsidRDefault="00DA4584" w:rsidP="00DA4584">
      <w:pPr>
        <w:spacing w:after="0" w:line="240" w:lineRule="auto"/>
        <w:jc w:val="both"/>
        <w:rPr>
          <w:rFonts w:asciiTheme="majorBidi" w:hAnsiTheme="majorBidi" w:cstheme="majorBidi"/>
          <w:sz w:val="20"/>
          <w:szCs w:val="20"/>
          <w:lang w:bidi="fa-IR"/>
        </w:rPr>
      </w:pPr>
    </w:p>
    <w:p w14:paraId="1A184DDB" w14:textId="77777777" w:rsidR="00DA4584" w:rsidRPr="00473B7C" w:rsidRDefault="00DA4584" w:rsidP="00DA4584">
      <w:pPr>
        <w:spacing w:after="0" w:line="240" w:lineRule="auto"/>
        <w:jc w:val="both"/>
        <w:rPr>
          <w:rFonts w:asciiTheme="majorBidi" w:hAnsiTheme="majorBidi" w:cstheme="majorBidi"/>
          <w:sz w:val="10"/>
          <w:szCs w:val="10"/>
          <w:lang w:bidi="fa-IR"/>
        </w:rPr>
      </w:pPr>
    </w:p>
    <w:tbl>
      <w:tblPr>
        <w:tblStyle w:val="TableGrid"/>
        <w:tblW w:w="0" w:type="auto"/>
        <w:tblLook w:val="04A0" w:firstRow="1" w:lastRow="0" w:firstColumn="1" w:lastColumn="0" w:noHBand="0" w:noVBand="1"/>
      </w:tblPr>
      <w:tblGrid>
        <w:gridCol w:w="9350"/>
      </w:tblGrid>
      <w:tr w:rsidR="00DA4584" w14:paraId="1DD86A38" w14:textId="77777777" w:rsidTr="003A475A">
        <w:tc>
          <w:tcPr>
            <w:tcW w:w="9350" w:type="dxa"/>
            <w:shd w:val="clear" w:color="auto" w:fill="BDD6EE" w:themeFill="accent5" w:themeFillTint="66"/>
          </w:tcPr>
          <w:p w14:paraId="316F81EF" w14:textId="77777777" w:rsidR="00DA4584" w:rsidRDefault="00DA4584" w:rsidP="003A475A">
            <w:pPr>
              <w:jc w:val="center"/>
              <w:rPr>
                <w:rFonts w:asciiTheme="majorBidi" w:hAnsiTheme="majorBidi" w:cstheme="majorBidi"/>
                <w:sz w:val="28"/>
                <w:szCs w:val="28"/>
                <w:lang w:bidi="fa-IR"/>
              </w:rPr>
            </w:pPr>
            <w:r>
              <w:rPr>
                <w:rFonts w:asciiTheme="majorBidi" w:hAnsiTheme="majorBidi" w:cstheme="majorBidi"/>
                <w:sz w:val="28"/>
                <w:szCs w:val="28"/>
                <w:lang w:bidi="fa-IR"/>
              </w:rPr>
              <w:t>NOTE</w:t>
            </w:r>
          </w:p>
        </w:tc>
      </w:tr>
    </w:tbl>
    <w:p w14:paraId="126FA942" w14:textId="77777777" w:rsidR="00DA4584" w:rsidRDefault="00DA4584" w:rsidP="00DA4584">
      <w:pPr>
        <w:spacing w:after="0" w:line="240" w:lineRule="auto"/>
        <w:jc w:val="both"/>
        <w:rPr>
          <w:rFonts w:asciiTheme="majorBidi" w:hAnsiTheme="majorBidi" w:cstheme="majorBidi"/>
          <w:sz w:val="20"/>
          <w:szCs w:val="20"/>
          <w:lang w:bidi="fa-IR"/>
        </w:rPr>
      </w:pPr>
    </w:p>
    <w:p w14:paraId="60BD0451" w14:textId="77777777" w:rsidR="00DA4584" w:rsidRPr="00713F97" w:rsidRDefault="00DA4584" w:rsidP="00DA4584">
      <w:pPr>
        <w:spacing w:after="0" w:line="240" w:lineRule="auto"/>
        <w:jc w:val="both"/>
        <w:rPr>
          <w:rFonts w:asciiTheme="majorBidi" w:hAnsiTheme="majorBidi" w:cstheme="majorBidi"/>
          <w:sz w:val="28"/>
          <w:szCs w:val="28"/>
          <w:lang w:bidi="fa-IR"/>
        </w:rPr>
      </w:pPr>
      <w:r w:rsidRPr="00713F97">
        <w:rPr>
          <w:rFonts w:ascii="TimesNewRomanPSMT" w:hAnsi="TimesNewRomanPSMT"/>
          <w:color w:val="000000"/>
          <w:sz w:val="28"/>
          <w:szCs w:val="28"/>
        </w:rPr>
        <w:t xml:space="preserve">All products have been produced by </w:t>
      </w:r>
      <w:proofErr w:type="spellStart"/>
      <w:r w:rsidRPr="00713F97">
        <w:rPr>
          <w:rFonts w:ascii="TimesNewRomanPSMT" w:hAnsi="TimesNewRomanPSMT"/>
          <w:color w:val="000000"/>
          <w:sz w:val="28"/>
          <w:szCs w:val="28"/>
        </w:rPr>
        <w:t>Karmania</w:t>
      </w:r>
      <w:proofErr w:type="spellEnd"/>
      <w:r w:rsidRPr="00713F97">
        <w:rPr>
          <w:rFonts w:ascii="TimesNewRomanPSMT" w:hAnsi="TimesNewRomanPSMT"/>
          <w:color w:val="000000"/>
          <w:sz w:val="28"/>
          <w:szCs w:val="28"/>
        </w:rPr>
        <w:t xml:space="preserve"> Pars Gene company in Iran.</w:t>
      </w:r>
    </w:p>
    <w:p w14:paraId="38CDBD74" w14:textId="4E5B923C" w:rsidR="004E652D" w:rsidRPr="00B000FF" w:rsidRDefault="004E652D" w:rsidP="00DA4584">
      <w:pPr>
        <w:spacing w:after="0" w:line="240" w:lineRule="auto"/>
        <w:jc w:val="both"/>
        <w:rPr>
          <w:rFonts w:asciiTheme="majorBidi" w:hAnsiTheme="majorBidi" w:cstheme="majorBidi"/>
          <w:sz w:val="28"/>
          <w:szCs w:val="28"/>
          <w:lang w:bidi="fa-IR"/>
        </w:rPr>
      </w:pPr>
    </w:p>
    <w:p w14:paraId="3211F40D" w14:textId="77777777" w:rsidR="004E652D" w:rsidRPr="004E652D" w:rsidRDefault="004E652D" w:rsidP="00BF5325">
      <w:pPr>
        <w:spacing w:after="0" w:line="240" w:lineRule="auto"/>
        <w:jc w:val="both"/>
        <w:rPr>
          <w:rFonts w:asciiTheme="majorBidi" w:hAnsiTheme="majorBidi" w:cstheme="majorBidi"/>
          <w:sz w:val="28"/>
          <w:szCs w:val="28"/>
          <w:lang w:bidi="fa-IR"/>
        </w:rPr>
      </w:pPr>
    </w:p>
    <w:sectPr w:rsidR="004E652D" w:rsidRPr="004E65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2B63" w14:textId="77777777" w:rsidR="00C63814" w:rsidRDefault="00C63814" w:rsidP="00D83961">
      <w:pPr>
        <w:spacing w:after="0" w:line="240" w:lineRule="auto"/>
      </w:pPr>
      <w:r>
        <w:separator/>
      </w:r>
    </w:p>
  </w:endnote>
  <w:endnote w:type="continuationSeparator" w:id="0">
    <w:p w14:paraId="47F45869" w14:textId="77777777" w:rsidR="00C63814" w:rsidRDefault="00C63814"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D550" w14:textId="77777777" w:rsidR="00C63814" w:rsidRDefault="00C63814" w:rsidP="00D83961">
      <w:pPr>
        <w:spacing w:after="0" w:line="240" w:lineRule="auto"/>
      </w:pPr>
      <w:r>
        <w:separator/>
      </w:r>
    </w:p>
  </w:footnote>
  <w:footnote w:type="continuationSeparator" w:id="0">
    <w:p w14:paraId="107C91DA" w14:textId="77777777" w:rsidR="00C63814" w:rsidRDefault="00C63814"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7287C"/>
    <w:rsid w:val="000C0235"/>
    <w:rsid w:val="00111EDA"/>
    <w:rsid w:val="00246E88"/>
    <w:rsid w:val="002502DF"/>
    <w:rsid w:val="00292CE8"/>
    <w:rsid w:val="002935BE"/>
    <w:rsid w:val="00305509"/>
    <w:rsid w:val="00356589"/>
    <w:rsid w:val="003E0545"/>
    <w:rsid w:val="00465BE1"/>
    <w:rsid w:val="004E052C"/>
    <w:rsid w:val="004E652D"/>
    <w:rsid w:val="0050168A"/>
    <w:rsid w:val="00527248"/>
    <w:rsid w:val="0057704F"/>
    <w:rsid w:val="00595AF2"/>
    <w:rsid w:val="005E7658"/>
    <w:rsid w:val="00781DBA"/>
    <w:rsid w:val="00815810"/>
    <w:rsid w:val="00864FE6"/>
    <w:rsid w:val="00B12571"/>
    <w:rsid w:val="00B84821"/>
    <w:rsid w:val="00BF5325"/>
    <w:rsid w:val="00C63814"/>
    <w:rsid w:val="00D0064E"/>
    <w:rsid w:val="00D83961"/>
    <w:rsid w:val="00DA4584"/>
    <w:rsid w:val="00E05228"/>
    <w:rsid w:val="00F4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401370284">
      <w:bodyDiv w:val="1"/>
      <w:marLeft w:val="0"/>
      <w:marRight w:val="0"/>
      <w:marTop w:val="0"/>
      <w:marBottom w:val="0"/>
      <w:divBdr>
        <w:top w:val="none" w:sz="0" w:space="0" w:color="auto"/>
        <w:left w:val="none" w:sz="0" w:space="0" w:color="auto"/>
        <w:bottom w:val="none" w:sz="0" w:space="0" w:color="auto"/>
        <w:right w:val="none" w:sz="0" w:space="0" w:color="auto"/>
      </w:divBdr>
    </w:div>
    <w:div w:id="1117408556">
      <w:bodyDiv w:val="1"/>
      <w:marLeft w:val="0"/>
      <w:marRight w:val="0"/>
      <w:marTop w:val="0"/>
      <w:marBottom w:val="0"/>
      <w:divBdr>
        <w:top w:val="none" w:sz="0" w:space="0" w:color="auto"/>
        <w:left w:val="none" w:sz="0" w:space="0" w:color="auto"/>
        <w:bottom w:val="none" w:sz="0" w:space="0" w:color="auto"/>
        <w:right w:val="none" w:sz="0" w:space="0" w:color="auto"/>
      </w:divBdr>
    </w:div>
    <w:div w:id="1219048029">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868256506">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 w:id="20516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7</cp:revision>
  <dcterms:created xsi:type="dcterms:W3CDTF">2023-11-27T07:51:00Z</dcterms:created>
  <dcterms:modified xsi:type="dcterms:W3CDTF">2023-12-09T10:16:00Z</dcterms:modified>
</cp:coreProperties>
</file>